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Административнопроцесуалния кодекс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</w:t>
      </w:r>
      <w:r w:rsidR="008B7F37" w:rsidRPr="008B7F37">
        <w:rPr>
          <w:rFonts w:ascii="Times New Roman" w:hAnsi="Times New Roman" w:cs="Times New Roman"/>
          <w:bCs/>
          <w:sz w:val="24"/>
          <w:szCs w:val="24"/>
        </w:rPr>
        <w:t>Наредба</w:t>
      </w:r>
      <w:r w:rsidR="008B7F37">
        <w:rPr>
          <w:rFonts w:ascii="Times New Roman" w:hAnsi="Times New Roman" w:cs="Times New Roman"/>
          <w:bCs/>
          <w:sz w:val="24"/>
          <w:szCs w:val="24"/>
        </w:rPr>
        <w:t>та</w:t>
      </w:r>
      <w:r w:rsidR="008B7F37" w:rsidRPr="008B7F37">
        <w:rPr>
          <w:rFonts w:ascii="Times New Roman" w:hAnsi="Times New Roman" w:cs="Times New Roman"/>
          <w:bCs/>
          <w:sz w:val="24"/>
          <w:szCs w:val="24"/>
        </w:rPr>
        <w:t xml:space="preserve"> за условията и реда за съставяне на тригодишната бюджетна прогноза за местните дейности и за съставяне, обсъждане, приемане, изпълнение и отчитане на бюджета на община Дългопол</w:t>
      </w:r>
      <w:r w:rsidR="008D4789" w:rsidRPr="008B7F37">
        <w:rPr>
          <w:rFonts w:ascii="Times New Roman" w:eastAsia="Calibri" w:hAnsi="Times New Roman" w:cs="Times New Roman"/>
          <w:sz w:val="24"/>
          <w:szCs w:val="24"/>
        </w:rPr>
        <w:t>.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0239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  <w:bookmarkStart w:id="0" w:name="_GoBack"/>
      <w:bookmarkEnd w:id="0"/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02390B"/>
    <w:rsid w:val="003E24AD"/>
    <w:rsid w:val="004E43E7"/>
    <w:rsid w:val="00784386"/>
    <w:rsid w:val="008B7F37"/>
    <w:rsid w:val="008D4789"/>
    <w:rsid w:val="009329A5"/>
    <w:rsid w:val="009D22DF"/>
    <w:rsid w:val="00A82522"/>
    <w:rsid w:val="00B55949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ED166B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6</cp:revision>
  <dcterms:created xsi:type="dcterms:W3CDTF">2025-01-17T06:06:00Z</dcterms:created>
  <dcterms:modified xsi:type="dcterms:W3CDTF">2025-01-18T15:01:00Z</dcterms:modified>
</cp:coreProperties>
</file>